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08.07.2020, оставленным без изменения постановлением Тринадцатого арбитражного апелляционного суда от 22.10.2020, иск удовлетворен. Арбитражный суд Северо-Западного округа постановлением от 24.02.2021 решение от 08.07.2020 и постановление Тринадцатого арбитражного апелляционного суда от 22.10.2020 оставил без изменения. В кассационной жалобе общество «Кайлас» просит об отмене судебных актов, ссылаясь на непричастность к хищению экскаватора и фальсификацию доказательств принятия имущества на хранение.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Условия, необходимые для взыскания с ответчика убытков и пределы этой ответственности установлены судами по итогу исследования правоотношений ответчика с поклажедателем, обстоятельств хищения экскаватора с находящейся в ведении ответчика стоянки и применения к ним статей 901, 902, 401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«Кайлас»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