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Татарстан от 30.10.2020, оставленным без изменения постановлением Одиннадцатого арбитражного апелляционного суда от 12.01.2021, в иске отказано. Постановлением Арбитражного суда Поволжского округа от 02.04.2021 решение и постановление апелляционного суда отменены, дело направлено на новое рассмотрение в суд первой инстанции. В кассационной жалобе общество «КАМАЗ» просит отменить постановление окружного суда, ссылаясь на правомерный отказ нижестоящих судов во взыскании спорной суммы в качестве убытков. Согласно части 1 статьи 291.11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 кассационной инстанции признал необходимость нового рассмотрения дела для установления не исследованных судами нижестоящих инстанций обстоятельств, имеющих правовое значение для взыскания убытков, что соответствует пределам определенной статьями 286 - 288 Арбитражного процессуального кодекса Российской Федерации компетенции этого суда.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«КАМАЗ»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