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25.08.2020, оставленным без изменения постановлением Девятого арбитражного апелляционного суда от 14.12.2020 и постановлением Арбитражного суда Московского округа от 31.03.2021, иск удовлетворен частично в пределах срока исковой давности, о применении которой заявил ответчик. В кассационной жалобе общество «АвтоТранс» просит об отмене судебных актов, ссылаясь на неправомерное отклонение довода о перерыве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принял за начало течения срока исковой давности акт от 30.12.2016 № 549 и признал срок пропущенным к предъявлению 17.02.2020 рассматриваемого иска в соответствии со статьями 196, 199, 200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