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11.02.2021, оставленным без изменения постановлением Десятого арбитражного апелляционного суда от 09.03.2021 и постановлением Арбитражного суда Московского округа от 21.04.2021, исковое заявление возвращено в связи с несоблюдением истцом досудебного порядка урегулирования спора. В кассационной жалобе общество просит о пересмотре судебных актов, ссылаясь на соответствие судебной практике предпринятого досудебного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Возвращение искового заявления не препятствует восстановлению и защите прав общества, поэтому не подлежит пересмотру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«ФармПартнер»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