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31.07.2020, оставленным без изменения постановлением Тринадцатого арбитражного апелляционного суда от 29.12.2020, иск удовлетворен. Арбитражный суд Северо-Западного округа постановлением от 16.03.2021 решение от 31.07.2020 и постановление Тринадцатого арбитражного апелляционного суда от 29.12.2020 оставил без изменения. В кассационной жалобе банк просит об отмене судебных актов, ссылаясь на злоупотребление истцом правом и ненаступление гарантийного случая.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требование о платеже по банковской гарантии от 25.04.2016 № GR0135-0007-16 предъявлено в пределах срока действия гарантии с приложением необходимых по условиям гарантии документов, что в силу статей 375 и 376 Гражданского кодекса Российской Федерации не позволяло банку отказать в совершении платежа. В силу статьи 370 Гражданского кодекса Российской Федерации предусмотренное банковской гарантией обязательство гаранта перед бенефициаром не зависит в отношениях между ними от основного обязательства, поэтому обоснованный обстоятельствами исполнения основного обязательства отказ банка в платеже на суммы обеспечиваемых гарантией неотработанного аванса и неустойки за ненадлежащее исполнение обязательства признан судом неправомерным.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«Санкт-Петербург»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