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16.10.2020, принятым в упрощенном порядке и оставленным без изменения постановлением Одиннадцатого арбитражного апелляционного суда от 12.01.2021, в иске отказано. Постановлением Арбитражного суда Поволжского округа от 02.04.2021 решение и постановление апелляционного суда отменены, дело направлено на новое рассмотрение в суд первой инстанции. В кассационной жалобе общество «КАМАЗ» просит отменить постановление окружного суда, ссылаясь на правомерный отказ нижестоящих судов во взыскании спорной суммы в качестве убытков.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кассационной инстанции признал необходимость нового рассмотрения дела для установления не исследованных судами нижестоящих инстанций обстоятельств, имеющих правовое значение для взыскания убытков, что соответствует пределам определенной статьями 286 - 288 Арбитражного процессуального кодекса Российской Федерации компетенции этого суда.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«КАМАЗ»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