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03.06.2020 в удовлетворении иска отказано. Девятый арбитражный апелляционный суд постановлением от 05.11.2020 отменил решение от 03.06.2020 и удовлетворил иск. Арбитражный суд Московского округа постановлением от 10.03.2021 постановление Девятого арбитражного апелляционного суда от 05.11.2020 оставил без изменения. В кассационной жалобе акционерное общество «МСП Банк» просит об отмене судебных актов, ссылаясь на игнорирование несоответствия требования о платеже условиям банковской гарантии.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в соответствии со статьей 376 Гражданского кодекса Российской Федерации и судебной практикой признал неприложение к требованию о платеже гарантии или ее нотариально удостоверенной копии не создающим основание к отказу в платеже, учитывая неоспаривание гарантом факта выдачи гарантии.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«МСП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