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11.06.2021 (согласно отметке почтового органа на конверте) обратился в Верховный Суд Российской Федерации с жалобой на определение судьи Верховного Суда Российской Федерации от 16.03.2021 № 306-ЭС21-1433, определение Арбитражного суда Пензенской области от 13.01.2020, постановление Одиннадцатого арбитражного апелляционного суда от 19.05.2020 и постановление Арбитражного суда Поволжского округа от 16.11.2020 по делу № А49-2853/2012,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291.2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291.2, 308.1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291.2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291.1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Доводов, обосновывающих уважительность пропуска рассматриваемого срока, заявителем не приведено.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291.2 Арбитражного процессуального кодекса Российской Федерации, судья,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индивидуального предпринимателя ФИО1 о восстановлении пропущенного процессуального срока отказать. Жалобу возвратить заявителю.Судья Верховного Суда Российской Федерации Н.С. Чучунова Суд: Верховный Суд РФ (подробнее) Истцы: Администрация Нижнеломовского района Пензенской области (подробнее) Ответчики: Глава крестьянского (фермерского) хозяйства Ушенин Валерий Геннадьевич (подробнее) Иные лица: Арбитражный суд Пензенской области (подробнее) Управление Федеральной службы судебных приставов России по Пензенской области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