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13.02.2020, оставленным без изменения постановлением Восьмого арбитражного апелляционного суда от 02.06.2020 и постановлением Арбитражного суда Западно-Сибирского округа от 12.11.2020, первоначальные исковые требования удовлетворены. С предпринимателя ФИО4 в пользу предпринимателя ФИО1 взыскано 1 396 000 руб. основного долга, 1 245 366 руб. неустойки, 75 167,77 руб. долга за коммунальные услуги, 245 135,56 руб. долга за эксплуатационные услуги, а также 80 000 руб. расходов на оплату услуг представителя, 54 173,86 руб. транспортных расходов, 37 808 руб. государственной пошлины. В удовлетворении встречных исковых требований отказано. В кассационной жалобе предприниматель ФИО4 ссылается на неправильное применение арбитражным судом норм права, несоответствие выводов суда фактическим обстоятельствам дела и имеющимся в деле доказательствам.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жалобы для рассмотрения в судебном заседании Судебной коллегии Верховного Суда Российской Федерации, если изложенные в ней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Изучив изложенные в жалобе доводы и принятые по делу судебные акты, судья Верховного Суда Российской Федерации сделал вывод об отсутствии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Оценив представленные в материалы дела доказательства по правилам статьи 71 Арбитражного процессуального кодекса Российской Федерации, установив факт пользования предпринимателем ФИО4 нежилым помещением в спорный период, наличие задолженности по арендным платежам в предъявленном к взысканию размере и наличие оснований для взыскания неустойки, проверив расчет истца и признав его верным, суд, руководствуясь статьями 1 , 2 , 8 , 10 , 182 , 183 , 307 , 309 , 310 , 328 , 329 , 330 , 331 , 421 , 424 , 431.1 , 432 , 606 , 607 , 611 , 612 , 614 , 622 , 654 , 655 Гражданского кодекса Российской Федерации, разъяснениями, данными в пункте 10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в пункте 72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первоначальные требования удовлетворил, не усмотрев оснований для уменьшения неустойки в порядке статьи 333 Гражданского кодекса Российской Федерации по заявлению ответчика. Отказывая в удовлетворении встречного иска, суды исходили из того, что договором установлены предусмотренные законом существенные условия аренды, разногласий по вопросу занимаемой площади спорного объекта между сторонами не имелось, договор аренды исполнялся сторонами без возражений, в связи с чем, основания для признания спорного договора недействительным отсутствуют. Доводы заявителя являлись предметом рассмотрения судебных инстанций, получили соответствующую правовую оценку и по существу направлены на иную оценку доказательств и фактических обстоятельств дела, что не входит в компетенцию Судебной коллегии по экономическим спорам Верховного Суда Российской Федерации. Доводы не подтверждают существенных нарушений норм права, повлиявших на исход дела. В просительной части кассационной жалобы предприниматель ФИО4 заявил ходатайство о приостановлении исполнительного производства № 66888/20/66021-ИП. Согласно части 2 статьи 327 Арбитражного процессуального кодекса Российской Федерации приостановление или прекращение исполнительного производства производится арбитражным судом, выдавшим исполнительный лист, либо арбитражным судом по месту нахождения судебного пристава - исполнителя. В связи с этим данное ходатайство о приостановлении исполнительного производства не относится к подсудности Верховного Суда Российской Федерации и рассмотрению не подлежит. Исходя из изложенного, руководствуясь статьями 291.6 и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ФИО4 Сурику Хадиовичу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Г.Г. Попова Суд: Верховный Суд РФ (подробнее) Истцы: ИП Юрочкин Д.В. (подробнее) ИП ЮРОЧКИН ДМИТРИЙ ВАСИЛЬЕВИЧ (подробнее) Ответчики: ИП Амарян Сурик Хадиович (подробнее) Иные лица: 8 ААС (подробнее) Арбитражный суд Западно-Сибирского округа (подробнее) Отдел адресно-справочной работы УФМС России по Свердловской области (подробнее) Судебная коллегия Верховного суда Российской Федерации (подробнее) Последние документы по делу: Определение от 24 июня 2021 г. по делу № А70-13945/2019 Определение от 17 марта 2021 г. по делу № А70-13945/2019 Показать все документы по этому делу Судебная практика по: Злоупотребление правом Судебная практика по применению нормы ст. 10 ГК РФ Признание договора незаключенным Судебная практика по применению нормы ст. 432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