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21.06.2021 обратился в Верховный Суд Российской Федерации с жалобой на определение судьи Верховного Суда Российской Федерации от 20.05.2021 № 305-ЭС21-5882, решение Арбитражного суда города Москвы от 16.06.2020, постановление Девятого арбитражного апелляционного суда от 23.09.2020 и постановление Арбитражного суда Московского округа от 27.01.2021 по делу № А40-337736/2019,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«Технотерра»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"ТехноТерра" (подробнее) Ответчики: АО "ТЕКОН-Инжиниринг"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