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обосновывает ходатайство об отсрочке уплаты государственной пошлины сложным имущественным положением. Согласно статье 102 Арбитражного процессуального кодекса Российской Федерации и пункту 2 статьи 333.22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2 Требуемые документы, отражающие имущественное положение подателя жалобы не представлены, поэтому ходатайство об отсрочке уплаты государственной пошлины удовлетворению не подлежит. Учитывая, что ходатайство об отсрочке уплаты государственной 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ее в электронном виде фактически не возвращается, а не рассматривается по существу.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«Зеленая звезда» в предоставлении отсрочки уплаты государственной пошлины за подачу кассационной жалобы на постановление Арбитражного суда Восточно-Сибирского округа от 17.05.2021 по делу № А19-11502/2020 Арбитражного суда Иркутской области.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