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18.09.2020, оставленным без изменения постановлением Девятого арбитражного апелляционного суда от 07.12.2020, взыскано 44 копейки задолженности. Арбитражный суд Московского округа постановлением от 26.02.2021, решение от 18.09.2020 и постановление Девятого арбитражного апелляционного суда от 07.12.2020 оставил без изменения. В кассационной жалобе общество «Сантехстрой» просит об отмене судебных актов, ссылаясь на игнорирование законного условия о полном возмещении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Рассматриваемый иск предъявлен к страховщику об исполнении договора страхования от 15.02.2019 № 196900-000028, а не к причинителю вреда, поэтому не может обосновываться правилами статей 15, 1064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«Сантехстрой»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