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25.09.2020, оставленным без изменения постановлением Пятнадцатого арбитражного апелляционного суда от 26.11.2020, в удовлетворении иска отказано. Арбитражный суд Северо-Кавказского округа постановлением от 26.02.2021 решение от 25.09.2019 и постановление Пятнадцатого арбитражного апелляционного суда от 26.11.2020 оставил без изменения. В кассационной жалобе общество «Росгосстрах» просит об отмене судебных актов, ссылаясь на неприменение законных последствий предоставления страхователем недостоверных сведений при заключении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Последствия выявления при наступившем страховом случае в рамках договора ОСАГО, заключенного в электронном виде, сообщения страхователем недостоверных сведений, повлекших уменьшение страховой премии, разъяснены в пункте 9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 и предъявленное требование им не соответствует.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