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27.08.2020, оставленным без изменения постановлением Девятого арбитражного апелляционного суда от 18.12.2020 и постановлением Арбитражного суда Московского округа от 09.03.2021, иск удовлетворен. В кассационной жалобе общество «Интерцентр-Групп» просит о пересмотре судебных актов, ссылаясь на ненадлежащую оценку доводов и доказательств, подтверждающих фактическое оказание услуг и несение подлежащих возмещению затрат.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признали наличие у ответчика обязанности в силу статьи 1102 Гражданского кодекса Российской Федерации возвратить полученную от истца сумму, поскольку оснований для ее удержания в установленном отсутствии встречного предоставления не имеется. Требуемая переоценка доказательств исполнения договора не отвечает критериям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«Интерцентр-Групп»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