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15.06.2021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26.03.2021, срок на обжалование которого истек 26.05.2021. 2 Несвоевременную подачу жалобы заявитель обосновывает болезнью руководителя общества.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3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представители участвовали при рассмотрении дела в судах трех инстанций. С полным текстом последнего обжалуемого судебного акта - постановления суда округа от 26.03.2021 общество могло ознакомиться 27.03.2021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этого, временная нетрудоспособность руководителя относится к внутренним организационным вопросам общества, которые согласно пункту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с наличием которых процессуальный закон связывает возможность восстановления срока на обжалование судебных актов. 4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«ИСМ»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09.09.2020, постановление Девятого арбитражного апелляционного суда от 10.12.2020 и постановление Арбитражного суда Московского округа от 26.03.2021 по делу № А40-81005/2020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