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Девятого арбитражного апелляционного суда от 25.01.2021, оставленным без изменения постановлением Арбитражного суда Московского округа от 01.04.2021, банку отказано в пересмотре постановления от 23.07.2020. В кассационной жалобе банк просит об отмене судебных актов об отказе в пересмотре постановления, ссылаясь на наличие установленных недобросовестных действий бенефициара (истца) в качестве основания для отказа в платеже по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правильно оценили отсутствие влияния приведенного банком обстоятельства на существо постановления, необходимого в силу части 3 статьи 311 Арбитражного процессуального кодекса Российской Федерации для его пересмотра. Иная позиция банка в отношении заявленного обстоятельства не создает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«Совкомбанк»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