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11.09.2020, оставленным без изменения постановлением Восемнадцатого арбитражного апелляционного суда от 10.12.2020 и постановлением Арбитражного суда Уральского округа от 10.03.2021, иск удовлетворен. В кассационной жалобе предприятие просит об изменении судебных актов в части судебных расходов, не подлежащих возложению на него как не проигравшую сторону.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Судебные издержки возложены судами на предприятие как лицо, способствовавшее судебному рассмотрению спора. Оспаривание компетенции судов на распределение судебных издержек не отвечает критериям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унитарному предприятию «Производственное объединение «Маяк»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