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Самарской области от 22.07.2020, оставленным без изменения постановлением Одиннадцатого арбитражного апелляционного суда от 16.10.2020, в удовлетворении иска отказано. Арбитражный суд Поволжского округа постановлением от 26.02.2021 решение от 22.07.2020 и постановление Одиннадцатого арбитражного апелляционного суда от 16.10.2020оставил без изменения. В кассационной жалобе общество «Модум-Транс» просит об отмене судебных актов, ссылаясь на возникновение обязанности возмещения убытков вследствие причинения вреда.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за недостатки оборудования отвечает сторона по сделке, на основании которой имущество приобретено, и, не являясь таковой, ответчик не может нести ответственность за понесенные на ремонт расходы по правилам статей 15, 1064 Гражданского кодекса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«Модум-Транс»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