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16.07.2020, оставленным без изменения постановлением Девятого арбитражного апелляционного суда от 02.12.2020, в удовлетворении иска отказано. Арбитражный суд Московского округа постановлением от 10.03.2021 решение от 16.07.2020 и постановление Девятого арбитражного апелляционного суда от 02.12.2020 оставил без изменения. В кассационной жалобе ассоциация просит об отмене судебных актов, ссылаясь на необоснованные признание страхового случая и выплату страхового возмещения страховщиком при непривлечении ассоциации к рассмотрению заявления и лишение ее возможности обжалования действий сторон страхового правоотношения.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рассматриваемом споре наличие страхового случая, отвечающего предъявляемым частью 2 статьи 24.7 Федерального закона от 29.07.1998 № 135-ФЗ «Об оценочной деятельности в Российской Федерации» требованиям, установлено в судебном порядке. Выплата страхового возмещения, основанная на решении суда, не является необоснованной и не требует участия заявителя, не имеющего правомочий ее оспаривания.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ассоциации «Русское общество оценщиков»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