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26.08.2020, оставленным без изменения постановлением Девятого арбитражного апелляционного суда от 15.12.2020 и постановлением Арбитражного суда Московского округа от 01.03.2021, первоначальный иск удовлетворен, в удовлетворении встречного иска отказано. В кассационной жалобе общество «ЭнергоСпецРемонт» просит об отмене судебных актов, ссылаясь на отсутствие уведомления об отгрузке товара и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истцом обязательства по поставке товара и несвоевременную полную оплату товара ответчиком, поэтому удовлетворили первоначальные исковые требования. Доводы рассматриваемой кассационной жалобы обсуждены апелляционным и окружным судами и получили правовую оценку.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«ЭнергоСпецРемонт»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