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Воронежской области от 19.03.2020, оставленным без изменения постановлением Девятнадцатого арбитражного апелляционного суда от 19.11.2020, иск удовлетворен частично. Постановлением Арбитражного суда Центрального округа от 25.03.2021 решение и постановление апелляционного суда отменены в удовлетворенной части иска, дело в указанной части направлено на новое рассмотрение в суд первой инстанции. 2 В кассационной жалобе общество «Космос» просит отменить постановление окружного суда в связи с нарушением пределов рассмотрения дела.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дали оценки возражениям ответчика в отношении обстоятельств оказания услуг, оказывающим влияние на результат рассмотрения дела. Обжалуемое постановление соответствует имеющейся в силу статей 286, 287 Арбитражного процессуального кодекса Российской Федерации у окружного суда компетенции.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«Космос»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