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28.07.2020, оставленным без изменения постановлением Девятого арбитражного апелляционного суда от 16.11.2020, в удовлетворении заявления отказано. Арбитражный суд Московского округа постановлением от 29.03.2021 решение от 28.07.2020 и постановление Девятого арбитражного апелляционного суда от 16.11.2020 оставил без изменения. В кассационной жалобе общество «Торговый Дом ТЕХМАРТ» просит об отмене судебных актов, ссылаясь на законный интерес в превентивном пресечении негативных последствий со стороны банка.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 применении последствий оспариваемого поведения банка заявитель не просит, пресечения на будущее время действий банка рассмотрение заявления по существу не влечет, поэтому суды правомерно отказали в удовлетворении требований.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ТЕХМАРТ»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