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«ТТ-Логос» обратилось в Арбитражный суд города Москвы с иском о взыскании с индивидуального предпринимателя Антонова Александра Васильевича 550 000 рублей штрафа по договору транспортно-экспедиционных услуг от 22.03.2019 № 22/03. Решением Арбитражного суда города Москвы от 12.10.2020 иск удовлетворен в части взыскания 55 000 рублей, в удовлетворении иска в остальной части отказано. Постановлением Девятого арбитражного апелляционного суда от 18.01.2021 решение суда первой инстанции оставлено без изменения. Арбитражный суд Московского округа постановлением от 02.04.2021 указанные судебные акты оставил без изменения. Индивидуальный предприниматель Антонов Александр Васильевич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истолковав в соответствии с положениями статей 421 и 431 Гражданского кодекса Российской Федерации условия заключенного сторонами договора, признав доказанным нарушение ответчиком условий пункта 3.2.2 договора в части требования личного исполнения обязательств по сделке, руководствуясь положениями статей 307, 309, 310, 330, 801, 805 Гражданского кодекса Российской Федерации, суды пришли к выводу об обоснованности иска,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Доводы, изложенные в кассационной жалобе, о пропуске истцом срока исковой давности приводились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Антонову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