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Безруков Дмитрий Станиславович обратился в Арбитражный суд Пензенской области с иском о взыскании с общества с ограниченной ответственностью «Ванюшкины сладости» 24 000 рублей стоимости возвратной тары. Решением Арбитражного суда Пензенской области от 15.09.2020 иск удовлетворен. Постановлением Одиннадцатого арбитражного апелляционного суда от 03.12.2020 решение суда первой инстанции оставлено без изменения. Арбитражный суд Поволжского округа постановлением от 12.03.2021 указанные судебные акты оставил без изменения. Общество с ограниченной ответственностью «Ванюшкины сладости»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поставки истцом ответчику товара в возвратной (многооборотной) таре и отсутствие доказательств возврата тары либо оплаты ее стоимости, руководствуясь положениями статей 8, 307, 309, 310, 506, 517 Гражданского кодекса Российской Федерации, Правилами применения, обращения и возврата многооборотных средств упаковки, утвержденных постановлением Госснаба СССР от 21.01.1991 № 1, разъяснениями Пленума Высшего Арбитражного Суда Российской Федерации, изложенными в постановлении от 22.10.1997 № 18 «О некоторых вопросах, связанных с применением положений Гражданского кодекса Российской Федерации о договоре поставки»,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«Ванюшкины сладости»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