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Жалялетдинов Р.А. обратился в суд с жалобой на действия (бездействие) конкурсного управляющего должником Сотовец Марии Федоровны, выразившиеся в расторжении договора энергоснабжения от 14.04.2008 № 56430670; взыскании с неё убытков в размере 78 511 рублей 50 копеек Определением Арбитражного суда города Москвы от 28.07.2020, оставленным без изменения постановлениями Девятого арбитражного апелляционного суда от 14.12.2020 и Арбитражного суда Московского округа от 15.03.2021, в удовлетворении заявленных требований отказано. В кассационной жалобе, поданной в Верховный Суд Российской Федерации, заявитель просит отменить названные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статьёй 15 Гражданского кодекса Российской Федерации, статьями 2, 20.3, 20.4, 60, 129 Федерального закона от 26.10.2002 № 127-ФЗ «О несостоятельности (банкротстве)», разъяснениями, приведёнными в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исходили из того, что конкурсный управляющий действовал разумно и в пределах предоставленных полномочий, не допустив нарушения требований законодательства о несостоятельности, прав и законных интересов должника, кредиторов и заявителя, следовательно, оснований для взыскания с него убытков не имелось.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Жалялетдинову Рашиду Абдулхаевичу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