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29.07.2020, оставленным без изменения постановлениями Девятого арбитражного апелляционного суда от 26.10.2020 и Арбитражного суда Московского округа от 09.03.2021, должник признана банкротом, введена процедура реализации имущества гражданина, утверждён финансовый управляющий.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должника банкротом и вводя процедуру реализации имущества гражданина, суды руководствовались статьями 213.3, 213.4, 213.6, 213.8, 213.12, 213.17 213.24 Федерального закона от 26.10.2002 № 127-ФЗ «О несостоятельности (банкротстве)» и исходили из того, что она отвечала признакам неплатёжеспособности, имуществом для покрытия имеющихся обязательств не располагала, проекта плана реструктуризации долгов гражданина в установленный законом срок не представлено.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"Долговой Консультант" (подробнее) ПАО Банк ВТБ (подробнее) ПАО "МКБ" (подробнее) Иные лица: ГУ УВМ МВД России по г. Москве (подробнее) Замоскворецкий отдел ЗАГС (подробнее) СРО Ассоциации "Ведущих Арбитражных Управляющих "Достояние"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