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жалобой на действия конкурсного управляющего должником ФИО2, выразившиеся в ненадлежащем проведении анализа финансового состояния должника и даче необоснованного заключения о признаках преднамеренного банкротства должника. Определением Арбитражного суда Курганской области от 21.09.2020, оставленным без изменения постановлениями Восемнадцатого арбитражного апелляционного суда от 07.12.2020 и Арбитражного суда Уральского округа от 25.02.2021,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жалобу удовлетворить.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20.3 Федерального закона от 26.10.2002 № 127-ФЗ «О несостоятельности (банкротстве)», исходили из недоказанности причин для удовлетворения жалобы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"Энергосервис" (подробнее) Ответчики: МУП Администрации Притобольного района " Притоболье" (подробнее) УФК по КУРГАНСКОЙ ОБЛАСТИ (подробнее) Иные лица: Администрация Притобольного района Курганской области (подробнее) Дегтерёв Сергей Иванович (подробнее) СРО Ассоциация " арбитражных управляющих "Южный Урал" (подробнее) Управление Федеральной службы государственной регистрации, кадастра и картографии по Курганской области (подробнее) УФНС России по Курганской области (подробнее) ФГБУ Филиал "ФКП Росреестра" по Курганской области (подробнее) ЭК "Восток"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