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10.06.2021 с ходатайством о восстановлении срока на обжалование. Пропуск срока подачи кассационной жалобы заявитель обосновывает отсутствием юридического образования. В силу частей 1, 2 статьи 291.2 Арбитражного процессуального кодекса Российской Федерации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Невозможность личной подготовки жалобы преодолевается через представительство, поэтому не является поводом к восстановлению срока. В связи с отказом в восстановлении срока жалоба подлежит возврату.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Гудилину Евгению Ивановичу в восстановлении срока подачи кассационной жалобы на определение Арбитражного суда Челябинской области от 06.08.2020 по делу № А76-24640/2015, постановление Восемнадцатого арбитражного апелляционного суда от 15.10.2020 и постановление Арбитражного суда Уральского округа от 25.12.2020 по тому же делу. Возвратить Гудилину Евгению Ивановичу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