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09.06.2020, оставленным без изменения постановлением Девятого арбитражного апелляционного суда от 20.10.2020 и постановлением Арбитражного суда Московского округа от 17.02.2021, исковые требования удовлетворены.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368, 370, 377, 379 Гражданского кодекса Российской Федерации, суды первой и апелляционной инстанций пришли к выводу об обоснованности требований учреждения (бенефициар) о взыскании с банка (гарант) платежа по банковской гарантии в связи с ненадлежащим исполнением обществом (принципал) обязательств по договору, а также неустойки. Суды признали, что у гаранта отсутствовали основания для отказа в совершении платежа, поскольку требование бенефициара и приложенные к нему документы соответствовали условиям гарантии, были предъявлены в установленном порядке и в пределах срока действия гарантии. Оснований для применения статьи 333 Гражданского кодекса Российской Федерации судами не установлено. Суд округа согласился с выводами судов первой и апелляционной инстанций. Изложенные в кассационной жалобе доводы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«Интегра»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