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16.07.2020, оставленным без изменения постановлением Восьмого арбитражного апелляционного суда от 09.10.2020 и постановлением Арбитражного суда Западно-Сибирского округа от 18.02.2021, исковые требования удовлетворены. В кассационной жалобе, поданной в Верховный Суд Российской Федерации, предприниматель, ссылаясь на незаконность указанных судебных актов, просит их отменить и направить дело на новое рассмотрение в Арбитражный суд Омской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принятых по делу судебных актов и доводов кассационной жалобы не установлено. Как следует из судебных актов, общество (заказчик) и предприниматель (подрядчик) заключили договоры от 24.03.2016 № 10, от 30.05.2017 № 9, от 03.07.2017 № 13, по условиям которых подрядчик обязался выполнить работы по изготовлению и монтажу металлоконструкций. Ссылаясь на выполнение предпринимателем работ с недостатками и необходимость возмещения затрат на их устранение, общество обратилось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учитывая обстоятельства, установленные в рамках дела № А46-15594/2018, руководствуясь статьями 15, 393, 723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исходя из доказанности факта некачественного выполнения предпринимателем работ по договорам, а также того, что результат работ не имеет потребительской ценности для общества. Суд округа согласился с выводами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Барабанова Олега Анатольевича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