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03.08.2020, оставленным без изменения постановлением Двенадцатого арбитражного апелляционного суда от 06.11.2020 и постановлением Арбитражного суда Поволжского округа от 19.02.2021, первоначальные исковые требования удовлетворены частично. С общества в пользу фирмы взыскана задолженность по арендной плате в сумме 1 527 703 руб. 28 коп. и неустойка в сумме 155 714 руб. 07 коп. по договору аренды нежилого помещения от 08.08.2017; задолженность по арендной плате в сумме 950 400 руб. и неустойка в сумме 147 502 руб. 08 коп. по договору аренды нежилого помещения от 09.12.2015; задолженность по арендной плате в сумме 626 890 руб. по договору аренды оборудования от 2009 года и проценты за пользование чужими денежными средствами в сумме 83 903 руб. 48 коп. Расторгнут договор аренды нежилого помещения от 08.08.2017, общество выселено из нежилого помещения площадью 480,8 кв. м, расположенного по адресу: г. Астрахань, Советский район, ул. Южная, д. 25 «а» литер А. Расторгнут договор аренды нежилого помещения площадью 108 кв. м, расположенного по адресу: г. Астрахань, Ленинский район, ул. Бахтемирская 3 этаж 1, общество выселено из указанного нежилого помещения. Расторгнут договор аренды оборудования, общество обязано возвратить оборудование фирме. В удовлетворении остальной части первоначальных исковых требований и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договоров, установив факт нарушения обществом (арендатор) обязательств по оплате арендных платежей в заявленные периоды, руководствуясь статьями 309 , 310 , 329 , 330 , 395 , 452 , 607 , 614 , 619 , 621 , 622 Гражданского кодекса Российской Федерации, суды первой и апелляционной инстанций пришли к выводу о наличии оснований для частичного удовлетворения первоначальных исковых требований (с учетом применения статьи 333 Гражданского кодекса Российской Федерации и снижения размера неустойки по договору от 09.12.2015). Отказывая в удовлетворении встречного иска, суды руководствовались статьями 53 , 183 Гражданского кодекса Российской Федерации, положениями Федерального закона от 13.07.2015 № 218-ФЗ «О государственной регистрации недвижимости», и исходили из того, что соглашение о досрочном расторжении договора аренды и акт приема-передачи нежилого помещения подписаны со стороны фирмы неуполномоченным лицом, генеральный директор фирмы не одобрил совершение указанных сделок, общество не принимало мер к государственной регистрации прекращения договора аренды. Суд округа признал выводы судов первой и апелляционной инстанций законными и обоснованными.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«Городок»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ПКФ "Фалкон" (подробнее) Ответчики: ООО "Городок" (подробнее) Иные лица: АО "Вкабанк"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