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08.10.2020, оставленным постановлением Девятого арбитражного апелляционного суда от 27.01.2021 и постановлением Арбитражного суда Московского округа от 14.04.2021,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заявителя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отсутствие доказательств исполнения обществом обязанности по внесению лизинговых платежей по спорным договорам, руководствуясь статьями 309, 310, 330, 614 Гражданского кодекса Российской Федерации, статьей 15 Федерального закона от 29.10.1998 № 164-ФЗ «О финансовой аренде (лизинге)», суды первой и апелляционной инстанций пришли к выводу о наличии оснований для удовлетворения исковых требований, с чем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«Даниловская пивоварня»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