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Арбитражный суд города Москвы с иском к акционерному обществу «Мерседес-Бенц РУС» об обязании произвести замену товара ненадлежащего качества. К участию в деле в качестве третьего лица, не заявляющего самостоятельных требований относительно предмета спора, привлечено акционерное общество «ВТБ-Лизинг». Решением Арбитражного суда города Москвы от 29.07.2020, оставленным без изменения постановлением Девятого арбитражного апелляционного суда от 23.11.2020, в удовлетворении иска отказано. Общество обратилось в Арбитражный суд Московского округа с кассационной жалобы на указанные судебные акты, заявив ходатайство о восстановлении пропущенного процессуального срока. Арбитражный суд Московского округа определением от 09.02.2021, оставленным без изменения определением того же суда от 22.03.2021, возвратил кассационную жалобу заявителя на основании пункта 2 части 1 статьи 281 Арбитражного процессуального кодекса Российской Федерации в связи с пропуском срока подачи и отказом в удовлетворении ходатайства о его восстановлении. В кассационной жалобе, поданной в Верховный Суд Российской Федерации, общество просит отменить указанные определения суда округа, ссылаясь на их незаконность.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Отказывая в удовлетворении ходатайства о восстановлении пропущенного процессуального срока и возвращая кассационную жалобу общества, суд округа руководствовался положениями статей 117 , 276 , 281 Арбитражного процессуального кодекса Российской Федерации, разъяснениями, изложенными в постановлении Пленума Высшего Арбитражного Суда Российской Федерации от 25.12.2013 № 99 «О процессуальных сроках», и исходил из того, что заявитель не привел доводов, подтвержденных надлежащими доказательствами и свидетельствующих о пропуске срока по уважительным, не зависящим от него причинам.С указанными выводами согласился арбитражный суд округа при рассмотрении жалобы заявителя, поданной в порядке статьи 291 Арбитражного процессуального кодекса Российской Федерации. Доводы кассационной жалобы не опровергают выводы суда и не подтверждают существенных нарушений норм права, повлиявших на исход дела.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«Русагрострой»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"РУСАГРОСТРОЙ" (подробнее) Ответчики: АО "Мерседес-Бенц РУС" (подробнее) Иные лица: ИНАЭ-МАДИ (подробнее) ООО Центр Независимых Экспертиз-Вектор (подробнее) ООО Центр независимых экспертиз -"РЕЛИАНС" (подробнее) ФГБУ СЭЦ ФПС по г.Москве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