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11.03.2020, оставленным без изменения постановлением Девятого арбитражного апелляционного суда от 29.09.2020 и постановлением Арбитражного суда Московского округа от 18.02.2021, в удовлетворении исковых требований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2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перечисления обществом в пользу компании на основании выставленного ею счета денежных средств в размере 289 980 руб. и поставки компанией товара в адрес общества на эту сумму, руководствуясь статьями 309, 310, 426, 432, 433, 434, 438, 486, 492, 497, 506 Гражданского кодекса Российской Федерации, суды первой и апелляционной инстанций пришли к выводу об отсутствии оснований для удовлетворения исковых требований, с чем впоследствии согласился суд округа. Изложенные в кассационной жалобе доводы были предметом рассмотрения судов и получили правовую оценку, не опровергают выводы судов и не подтверждают существенных нарушений судами норм материального и процессуального права, повлиявших на исход дела.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«Моснаб»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