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обратилось в Арбитражный суд города Москвы с иском о взыскании с публичного акционерного общества «Промсвязьбанк» 7 075 694 рублей 38 копеек задолженности по банковской гарантии от 27.06.2014 № 23285 и 761 441 рубля 02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«СетьСтройСервис». Решением Арбитражного суда города Москвы от 06.10.2016 иск удовлетворен в части взыскания 7 075 694 рублей 38 копеек задолженности по банковской гарантии и 722 696 рублей процентов за пользование чужими денежными средствами, в удовлетворении иска в остальной части отказано. 2 Публичное акционерное общество «Федеральная сетевая компания Единой энергетической системы» обратилось в суд с заявлением о выдаче дубликата исполнительного листа. Определением Арбитражного суда города Москвы от 10.07.2020 заявление удовлетворено, выдан дубликат исполнительного листа и восстановлен срок для предъявления исполнительного листа на принудительное исполнение решения суда по настоящему делу. Постановлением Девятого арбитражного апелляционного суда от 28.10.2020 определение суда первой инстанции оставлено без изменения. Арбитражный суд Московского округа постановлением от 01.02.2021 указанные судебные акты оставил без изменения. Публичное акционерное общество «Промсвязьбанк» обратилось в Судебную коллегию Верховного Суда Российской Федерации с кассационной жалобой на принятые по заявлению о выдаче дубликата исполнительного листа судебные акты, ссылаясь на существенные нарушения норм права. Письмом судьи Верховного Суда Российской Федерации от 24.05.2021 дело истребовано из Арбитражного суда города Москвы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Удовлетворяя заявление о выдаче дубликата исполнительного листа, суды руководствовались положениями статей 117, 322, 323 Арбитражного процессуального кодекса Российской Федерации и исходили из конкретных обстоятельств дела и представленных заявителем доказательств в обоснование поданного заявления.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