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21.04.2020, оставленным без изменения постановлением Девятого арбитражного апелляционного суда от 21.10.2020 и постановлением Арбитражного суда Московского округа от 20.02.2020, встречный иск компании возвращен, иск предприятия удовлетворен частично. В кассационной жалобе компания просит о пересмотре судебных актов, ссылаясь на неправильное исчисление срока исковой давности и несоответствие обстоятельствам дела вывода о неисполнении ответчиком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связи с непоставкой товара в согласованный срок предприятие заявило о расторжении договора от 10.02.2016 № 12151873 85502090942000000/1601-08-ПБ и потребовало возврата оплаченной за товар суммы, которая приобрела статус неосновательного обогащения после прекращения договора и в этом статусе срок исковой давности для ее взыскания не пропущен. Вывод окружного суда в связи с исковой давностью касается не заявления о ее применении, а довода об исчислении ее срока, не приводившегося в апелляционной жалобе. Изменение оценки представленной переписки о готовности продукции к отгрузке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«Электротехническая компания «Энергоимпорт»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