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15.06.2020, оставленным без изменения постановлением Девятого арбитражного апелляционного суда от 26.10.2020, в удовлетворении первоначального иска отказано, встречный иск удовлетворен. Арбитражный суд Московского округа постановлением от 12.02.2021 решение от 15.06.2020 и постановление Девятого арбитражного апелляционного суда от 26.10.2020 оставил без изменения. В кассационной жалобе общество «ЭЛектроЭКОлогия» просит об отмене судебных актов, ссылаясь на отступление судов от заявленных требований и игнорирование неопровержения ответчиком некомплектной поставки.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Подлежащие применению нормы права не относятся к основаниям иска и в силу компетенции определяются судом. Применение отличной от указанной истцом нормы права не означает нерассмотрения дела по существу. Требования по первоначальному иску основаны на непередаче документации к поставленному товару, которую суды признали недоказанной, учитывая приемку и оплату товара. Вопросы доказывания и оценки доказательств не отвечают критериям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«ЭЛектроЭКОлогия»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