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 договора купли-продажи недвижимости от 08.02.2017, заключенного между должником и Арашкович Натальей Александровной (далее – покупатель); применении последствий недействительности сделки в виде возврата в конкурсную массу квартиры № 545 общей площадью 69 кв.м., расположенной в жилом доме № 4В по ул. Холмогорская в г. Перми, кадастровый номер 59:01:4319245:3557 (далее – квартира). Определением Арбитражного суда Пермского края от 05.10.2020, оставленным без изменения постановлениями Семнадцатого арбитражного апелляционного суда от 24.12.2020 и Арбитражного суда Уральского округа от 12.03.2021,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не установили совокупности условий для признания недействительной оспариваемой сделки, поскольку её стороны не имели намерений причинить вред имущественным правам кредиторов, а сама сделка совершёна на рыночных условиях в пользу покупателя, не являвшейся заинтересованным с должником лицом и обладавшей финансовой возможностью для оплаты приобретаемой квартиры.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Романовой Алевтины Николаевны Нахабину Виталию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