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Рязанской области от 14.08.2020 иск удовлетворен. Определением Двадцатого арбитражного апелляционного суда от 02.12.2020, оставленным без изменения постановлением Арбитражного суда Центрального округа от 15.02.2021, производство по апелляционной жалобе на решение от 14.08.2020 прекращено на основании пункта 5 части 1 статьи 150 Арбитражного процессуального кодекса Российской Федерации. В кассационной жалобе общество просит отменить судебные акты, ссылаясь на необходимость прекращения производства по делу.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У суда первой инстанции не было оснований для прекращения производства по делу, учитывая отсутствие сведений о прекращении общества «Лиана» и выявленное в дальнейшем его прекращение в день принятия резолютивной части решения. Прекращение общества исключает дальнейшее движение дела в связи с любым поданным заявлением, что и сделано апелляционным судом.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«Лиана»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