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24.09.2020, оставленным без изменения постановлением Девятого арбитражного апелляционного суда от 03.02.2021 и постановлением Арбитражного суда Московского округа от 22.03.2021, исковое заявление оставлено без рассмотрения на основании пункта 7 части 1 статьи 148 Арбитражного процессуального кодекса Российской Федерации. В кассационной жалобе общество «СИНЕРГИЯ» просит об отмене судебных актов, ссылаясь на нарушения норм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Такие основания для пересмотра судебных актов отсутствуют, поскольку оставление иска без рассмотрения не препятствует восстановлению и защите прав заявителя.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«СИНЕРГИЯ»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