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производственное предприятие «Альфа-Элтех» обратилось в Арбитражный суд Ивановской области с иском о взыскании с индивидуального предпринимателя Куликова Михаила Владимировича 706 895 рублей 50 копеек неосновательного обогащения и 134 774 рублей 96 копеек процентов за пользование чужими денежными средствами за период с 12.04.2017 по 20.12.2019, с начислением процентов по день фактического погашения долга.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«Экспресс Сервис». Решением Арбитражного суда Ивановской области от 08.10.2020 иск удовлетворен в части взыскания 615 320 рублей 50 копеек неосновательного обогащения, 115 987 рублей 93 копеек процентов за пользование чужими денежными средствами, начисленных с 06.06.2017 по 20.12.2019, с начислением процентов по день фактической уплаты суммы долга. 2 Постановлением Второго арбитражного апелляционного суда от 28.12.2020 решение суда первой инстанции оставлено без изменения. Арбитражный суд Волго-Вятского округа постановлением от 08.04.2021 указанные судебные акты отменил в части взыскания процентов за пользование чужими денежными средствами, а также 2733 рублей 07 копеек судебных расходов и дело в данной части направил на новое рассмотрение в Арбитражный суд Ивановской области; в остальной части принятые по делу судебные акты оставил без изменения. Индивидуальный предприниматель Куликов Михаил Владимирович обратился в Судебную коллегию Верховного Суда Российской Федерации с кассационной жалобой на принятые по делу судебные акты в части взыскания неосновательного обогащения в сумме 555 752 рублей 50 копеек,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в части иск о взыскании неосновательного обогащения, суды руководствовались положениями статей 10, 182, 313, 864, 1102 Гражданского кодекса Российской Федерации и исходили из того, что предпринимателем не представлено доказательств встречного исполнения в объеме перечисленных истцом денежных средств. При этом платежи третьего лица не приняты в качестве надлежащих доказательств исполнения обязательства третьим лицом, поскольку действия третьего лица по изменению назначения платежей, произведенные по истечении значительного промежутка времени (более 2,5 лет) с момента их совершения при отсутствии доказательств их ошибочного перечисления (отсутствия оснований для перечисления), признаны недобросовестными.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Куликову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