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(далее – реестр) требования в размере 16 010 000 рублей, как обеспеченного залогом имуществом должника, и ходатайством о восстановлении срока на подачу заявления. Определением Арбитражного суда Ярославской области от 02.09.2020, оставленным без изменения постановлениями Арбитражного суда Ярославской области от 16.11.2020 и Арбитражного суда Волго-Вятского округа от 18.02.2021, в удовлетворении ходатайства 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Ярославской области; в случае отказа в отмене обжалуемых судебных актов – исключить выводы о прекращении у него права залога.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 Федерального закона от 26.10.2002 № 127-ФЗ «О несостоятельности (банкротстве)», пунктами 1, 4,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 и исходили из того, что требования общества заявлены после закрытия реестра в отсутствии уважительных причин, а вытекающие из залога обременения прекратились после реализации конкурным управляющим на торгах спорного имущества, в связи с чем не установили правовых оснований для включения заявленного требования в реестр. Выводы судов соответствуют нормам права, оснований для переоценки этих выводов, а также исключения из содержания обжалуемых судебных актов поименованных заявителем выводов соответствующего содержания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Музей»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