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 признании его несостоятельным (банкротом). Определением Арбитражного суда Московской области от 16.04.2020, оставленным без изменения постановлениями Десятого арбитражного апелляционного суда от 22.09.2020 и Арбитражного суда Московского округа от 17.02.2021, заявление возвращено. В кассационной жалобе, поданной в Верховный Суд Российской Федерации, заявитель просит отменить названные судебные акты и направить вопрос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заявление, суды, руководствуясь статьями 38, 39, 129 Арбитражного процессуального кодекса Российской Федерации, статьями 33, 42 Федерального закона от 26.10.2002 № 127-ФЗ «О 2 несостоятельности (банкротстве)», пунктом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установив, что место жительства должника находится в Ростовской области, пришли к выводу о невозможности рассмотрения дела в Арбитражном суде Московской области.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Сарибекяну Горгину Грачиковичу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