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05.10.2020, оставленным без изменения постановлением Двадцатого арбитражного апелляционного суда от 28.12.2020 и постановлением Арбитражного суда Центрального округа от 05.04.2021, заявление Управления Федеральной налоговой службы по Тульской области о пересмотре по вновь открывшимся обстоятельствам решения от 22.01.2020 удовлетворено и решение отменено. В кассационной жалобе общество «Скорпион» просит о пересмотре судебных актов, ссылаясь на отсутствие у заявителя права на пересмотр судебных актов, непредставление доказательств в обоснование пересмотра, пропуск срока на подачу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Пересмотр по вновь открывшимся обстоятельствам отличен от апелляционного обжалования, поэтому обстоятельства их реализации не имеют друг для друга значения преюдиции. Право на подачу заявления о пересмотре судебного акта по вновь открывшимся обстоятельствам основано на судебной практике и срок подачи такого заявления с момента установления таковой не пропущен. Материалы налоговой проверки, положенные в основу заявления о пересмотре решения обладают признаками обстоятельств, указанных в пункте 1 части 2 статьи 311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«Скорпион»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