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03.03.2020, оставленным без изменения постановлением Девятого арбитражного апелляционного суда от 24.07.2020, расторгнут договор купли-продажи от 11.12.2018 NRC-FB74120-2046115/S в связи с существенным нарушением требований к качеству товара и взыскано 3 450 000 рублей стоимости автомобиля. 2 Арбитражный суд Московского округа постановлением от 17.02.2021 решение от 03.03.2020 и постановление Девятого арбитражного апелляционного суда от 24.07.2020 оставил без изменения В кассационной жалобе общество «Центр Компрессорных Технологий» просит об отмене судебных актов в части отказа во взыскании убытков в виде разницы в ценах проданного и сопоставимого автомобилей, ссылаясь на противоречие в оценке представленных о размере таких убытков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Вопросы доказывания и оценки доказательств, на которых основаны доводы жалобы, не отвечают критериям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«Центр Компрессорных Технологий»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