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недействительным договора купли-продажи транспортного средства от 29.12.2016, заключенного между Демьянович Екатериной Анатольевной и должником; применении последствий недействительности сделки в виде возврата соответствующего транспортного средства в конкурсную массу должника. Определением Арбитражного суда Пермского края от 05.10.2020, оставленным без изменения постановлениями Семнадцатого арбитражного апелляционного суда от 15.12.2020 и Арбитражного суда Уральского округа от 11.03.2021,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исходили из недоказанности наличии оснований для признания недействительной оспариваемой сделки, совершённой на рыночных условиях с целью погашения должником обязательств перед залогодержателем без злоупотребления правом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Нахабину Виталию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