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28.09.2020, оставленным без изменения постановлением Девятого арбитражного апелляционного суда от 17.12.2020, иск удовлетворен. Арбитражный суд Московского округа постановлением от 29.03.2021 решение от 28.09.2020 и постановление Девятого арбитражного апелляционного суда от 17.12.2020 оставил без изменения. В кассационной жалобе банк просит об отмене судебных актов, ссылаясь на несоответствие требования о платеже условиям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Толкование банком условий гарантии неосновательно ограничивает пределы ответственности банка, поэтому правомерно признано не отвечающим установленным статьей 376 Гражданского кодекса Российской Федерации критериям для отказа в платеже.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«Коммерческий банк «Славянский 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