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10.07.2020, оставленным без изменения постановлением Четвертого арбитражного апелляционного суда от 29.10.2020 и постановлением Арбитражного суда Восточно-Сибирского округа от 17.02.2021, в удовлетворении иска отказано в связи с истечением срока исковой давности, о применении которой заявил ответчик, а также недоказанностью оказания истцом охранных услуг по договору от 01.03.2012 № 038/12 ОПС. В кассационной жалобе предприятие просит об отмене судебных актов, ссылаясь на перерыв течения срока исковой давности, непринятие измененных требований,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 акту сверки расчетов суды отнеслись критически как носящему односторонний характер и не прерывающему течения срока исковой давности, пропуск которого является самостоятельным основанием для отказа в иске (статья 199 Гражданского кодекса Российской Федерации), не требующим исследования других обстоятельств. Суды признали, что под изменением исковых требований предприятие понимает подачу нового иска о взыскании задолженности и процентов за иной период, поэтому рассмотрели иск по изначально заявленным предмету и основаниям.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«Кольчуга-Краснокаменск»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