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Годич О.С. и Годич Е.В. обратились в суд с заявлением о включении в реестр требований кредиторов должника (далее – реестр) денежных требований, подтвержденных судебным актом, в общем размере 1 190 000 рублей, из которых 640 000 рублей (проценты за пользование денежными средствами за период с 10.04.2014 по 10.02.2020), 50 000 рублей (компенсация морального вреда), 500 000 рублей (штраф). Также Годич О.С. и Годич Е.В. обратились в суд с самостоятельно исчисленным требованием в общем размере 3 097 279 рублей 25 копеек, из которых 2 064 852 рублей 83 копеек (проценты за пользование денежными средствами по части 6 статьи 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 за период с 11.02.2017 по 03.02.2020), 1 032 426 рублей 42 копеек (штраф). Определением Арбитражного суда Московской области от 11.08.2020, оставленным без изменения постановлениями Десятого арбитражного апелляционного суда от 03.12.2020 и Арбитражного суда Московского округа от 26.02.2021, заявленные требования удовлетворены частично. 2 В кассационной жалобе, поданной в Верховный Суд Российской Федерации, заявители просят отменить постановления судов апелляционной инстанции и округа полностью, изменить определение суда первой инстанции в части. Резолютивную часть определения изложить в предложенной ими редакции. Исходя из доводов кассационной жалобы, заявители не согласны с обжалуемыми судебными актами в части самостоятельно произведённого судом первой инстанции расчёта штрафных санкций и применения статьи 333 Гражданского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частей 2 и 6 статьи 9 Закона № 214-ФЗ, пунктом 42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правильным выводам о недопустимости начисления процентов на проценты (сложные проценты), обоснованно исключив из расчёта заявителей сумму присужденных процентов за пользование денежными средствами, арифметически верно произведя перерасчёт взыскиваемых сумм и снизив их размер в связи с несоразмерностью последствиям неисполнения обязательства.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Годич Олегу Семеновичу и Годич Евгении Владимировне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