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29.09.2020, оставленным без изменения постановлением Двенадцатого арбитражного апелляционного суда от 22.12.2020, в удовлетворении первоначального и встречного исков отказано. Арбитражный суд Поволжского округа постановлением от 30.03.2021 решение от 29.09.2020 и постановление Двенадцатого арбитражного апелляционного суда от 22.12.2020 оставил без изменения. В кассационной жалобе общество «Сити-Такс» просит об отмене судебных актов в отношении первоначального иска, ссылаясь на наличие у страховщика права требовать увеличения страховой премии и отсутствие основания для расторжения договоров страхования.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944 Гражданского кодекса Российской Федерации при заключении договора страхования страхователь обязан сообщить страховщику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Согласно пункту 1.15 Положения Центрального банка Российской Федерации от 19.09.2014 № 431-П «О правилах обязательного страхования гражданской ответственности владельцев транспортных средств» страховщик имеет право досрочно прекратить действие договора обязательного страхования при выявлении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 Суды, установив, что страхователь умышленно не сообщил достоверную информацию о цели использования автомобилей, имеющей существенное значение для определения степени страхового риска по договору ОСАГО, правомерно признали за страховщиком права на расторжение договоров.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«Сити-Такс»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